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33C" w:rsidRDefault="00F9433C" w:rsidP="00F9433C">
      <w:r>
        <w:t>ESTUDIO JURIDICO ABOGADO RICARDO OSCAR KOHN</w:t>
      </w:r>
    </w:p>
    <w:p w:rsidR="00F9433C" w:rsidRDefault="00F9433C" w:rsidP="00F9433C">
      <w:r>
        <w:t>Aseroramiento jurídico Dererecho Penal, Laboral, Laboral (Despidos-Seguros, ART), Contable, Financiero.</w:t>
      </w:r>
    </w:p>
    <w:p w:rsidR="00F9433C" w:rsidRDefault="00F9433C" w:rsidP="00F9433C">
      <w:r>
        <w:t>Fuentes Información Penal: Jurisprucencia Fiscalía Instrucción, Juzgados de Control, Cámaras del Crimen, Cámara de Apelación, Tribunal Superior de Justicia de Córdoba, Cámara Federal de Apelaciones, Corte Supremia de Justicia de la Nación.</w:t>
      </w:r>
    </w:p>
    <w:p w:rsidR="00F9433C" w:rsidRDefault="00F9433C" w:rsidP="00F9433C">
      <w:r>
        <w:t xml:space="preserve">Notas periodísticas:  La voz del Interior, lavoz, Cadena 3, Infobae, Clarin, La Nación, Diario Judicial, Comercio y Justicia, Abogados Tucumán, iprofesional, Ministerio Público Fiscal Cordoba -MPF-, somos cordobeses, DERF, headstopics, cordobatimes, diaadia, hoydia, La Caja de Seguros, </w:t>
      </w:r>
    </w:p>
    <w:p w:rsidR="00F9433C" w:rsidRDefault="00F9433C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  <w:lang w:val="es-AR"/>
        </w:rPr>
      </w:pPr>
      <w:bookmarkStart w:id="0" w:name="_GoBack"/>
      <w:bookmarkEnd w:id="0"/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  <w:lang w:val="es-AR"/>
        </w:rPr>
      </w:pPr>
      <w:r>
        <w:rPr>
          <w:rFonts w:ascii="Times-Roman" w:hAnsi="Times-Roman" w:cs="Times-Roman"/>
          <w:sz w:val="18"/>
          <w:szCs w:val="18"/>
          <w:lang w:val="es-AR"/>
        </w:rPr>
        <w:t>CAMARA NACIONAL DE APELACIONES EN LO CRIMINAL Y CORRECCIONAL - SALA 4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  <w:lang w:val="es-AR"/>
        </w:rPr>
      </w:pPr>
      <w:r>
        <w:rPr>
          <w:rFonts w:ascii="Times-Roman" w:hAnsi="Times-Roman" w:cs="Times-Roman"/>
          <w:sz w:val="18"/>
          <w:szCs w:val="18"/>
          <w:lang w:val="es-AR"/>
        </w:rPr>
        <w:t>CCC. 17325/2018 “T., R. S. y otro s/ Estafa” JCC. 37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  <w:lang w:val="es-AR"/>
        </w:rPr>
      </w:pPr>
      <w:r>
        <w:rPr>
          <w:rFonts w:ascii="Times-Roman" w:hAnsi="Times-Roman" w:cs="Times-Roman"/>
          <w:sz w:val="24"/>
          <w:szCs w:val="24"/>
          <w:lang w:val="es-AR"/>
        </w:rPr>
        <w:t>///nos Aires, 15 de marzo de 2019.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  <w:lang w:val="es-AR"/>
        </w:rPr>
      </w:pPr>
      <w:r>
        <w:rPr>
          <w:rFonts w:ascii="Times-Bold" w:hAnsi="Times-Bold" w:cs="Times-Bold"/>
          <w:b/>
          <w:bCs/>
          <w:sz w:val="24"/>
          <w:szCs w:val="24"/>
          <w:lang w:val="es-AR"/>
        </w:rPr>
        <w:t>AUTOS Y VISTOS</w:t>
      </w:r>
      <w:r>
        <w:rPr>
          <w:rFonts w:ascii="Times-Roman" w:hAnsi="Times-Roman" w:cs="Times-Roman"/>
          <w:sz w:val="24"/>
          <w:szCs w:val="24"/>
          <w:lang w:val="es-AR"/>
        </w:rPr>
        <w:t>: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Llega a estudio esta causa con motivo del recurso de apelación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interpuesto por la querella contra el auto que decretó la falta de mérito para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procesar o sobreseer a R. S. T. y F. O. D. (fs. 446/450, punto I).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Celebrada la audiencia que prescribe el artículo 454 del Código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Procesal Penal de la Nación, el Tribunal pasó a deliberar en los términos del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artículo 455,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ibídem</w:t>
      </w:r>
      <w:r>
        <w:rPr>
          <w:rFonts w:ascii="Times-Roman" w:hAnsi="Times-Roman" w:cs="Times-Roman"/>
          <w:sz w:val="28"/>
          <w:szCs w:val="28"/>
          <w:lang w:val="es-AR"/>
        </w:rPr>
        <w:t>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Bold" w:hAnsi="Times-Bold" w:cs="Times-Bold"/>
          <w:b/>
          <w:bCs/>
          <w:sz w:val="28"/>
          <w:szCs w:val="28"/>
          <w:lang w:val="es-AR"/>
        </w:rPr>
        <w:t>Y CONSIDERANDO</w:t>
      </w:r>
      <w:r>
        <w:rPr>
          <w:rFonts w:ascii="Times-Roman" w:hAnsi="Times-Roman" w:cs="Times-Roman"/>
          <w:sz w:val="28"/>
          <w:szCs w:val="28"/>
          <w:lang w:val="es-AR"/>
        </w:rPr>
        <w:t>: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I.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Situaciones procesales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E. H. M. promovió querella criminal el 31 de agosto de 2017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contra R. V. B., R. S. T. y F. O. D., a quienes endilgó una maniobra de estafa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desarrollada en su perjuicio.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Relató que a mediados del mes de julio de 2016 la escribana T. se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comunicó telefónicamente para proponerle participar en una operación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inmobiliaria que se estaba gestando con su intervención. En concreto, le refirió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que B., persona solvente según el conocimiento que dijo poseer, adquiriría un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inmueble para reformar y luego poner en venta. Se planteó entonces al acusador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privado efectuar un mutuo a favor del nombrado poseyendo como garantía 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bien en cuestión.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Resulta ilustrativo reproducir ciertos párrafos del escrito inicial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querella: “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La nombrada me informó –a fin de que yo pudiera corroborar su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afirmación en el sentido que el inmueble…constituía suficiente garantía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recupero de la suma solicitada en préstamo– que ella tenía plena posibilidad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 xml:space="preserve">acceder a </w:t>
      </w:r>
      <w:r>
        <w:rPr>
          <w:rFonts w:ascii="Times-Roman" w:hAnsi="Times-Roman" w:cs="Times-Roman"/>
          <w:sz w:val="28"/>
          <w:szCs w:val="28"/>
          <w:lang w:val="es-AR"/>
        </w:rPr>
        <w:t>[la vivienda]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, lo que implícitamente daba cuenta del acuerdo del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lastRenderedPageBreak/>
        <w:t>propietario (vendedor) a tal efecto</w:t>
      </w:r>
      <w:r>
        <w:rPr>
          <w:rFonts w:ascii="Times-Roman" w:hAnsi="Times-Roman" w:cs="Times-Roman"/>
          <w:sz w:val="28"/>
          <w:szCs w:val="28"/>
          <w:lang w:val="es-AR"/>
        </w:rPr>
        <w:t>”. De tal modo, “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accedí a considerar la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posibilidad de intervenir en dicha operación, siendo en esas circunstancias que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[T.] me condujo en forma personal a visitar el inmueble…-una vieja casa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ubicada en la calle ………….. de esta ciudad-, a la que efectivamente pude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ingresar merced a su gestión y en su compañía</w:t>
      </w:r>
      <w:r>
        <w:rPr>
          <w:rFonts w:ascii="Times-Roman" w:hAnsi="Times-Roman" w:cs="Times-Roman"/>
          <w:sz w:val="28"/>
          <w:szCs w:val="28"/>
          <w:lang w:val="es-AR"/>
        </w:rPr>
        <w:t>” (fs. 34vta.).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lo que sigue describió lo sucedido el 3 de agosto de 2016,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como también el incremento en el monto del mutuo que derivó en 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ofrecimiento por parte de F. O. D., operador inmobiliario que acompañaba a B.,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 comprometer su fianza personal para asegurar el pago de la deuda. Como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consecuencia de ello, M. entregó la suma de U$S 104.000 y firmó el respectivo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contrato (escritura n° 78 del 3 de agosto de 2016). No obstante, ocurrido 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primer vencimiento en fecha 3 de septiembre de 2016, el deudor no cumplió con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el pago ni fue posible cancelar las restantes cuotas.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M. efectuó averiguaciones a partir de las cuales determinó que Á.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J. T., titular dominial del inmueble sito en la calle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 xml:space="preserve">………….. </w:t>
      </w:r>
      <w:r>
        <w:rPr>
          <w:rFonts w:ascii="Times-Roman" w:hAnsi="Times-Roman" w:cs="Times-Roman"/>
          <w:sz w:val="28"/>
          <w:szCs w:val="28"/>
          <w:lang w:val="es-AR"/>
        </w:rPr>
        <w:t>de esta ciudad había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fallecido el 9 de julio de 2013. También estableció la existencia de dos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expedientes judiciales, uno formado con motivo de aquella muerte (causa n°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…….. “NN s/ muerte por causa dudosa” que tramitó ante la Fiscalía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Instrucción n° …..) y otro testamentario (cn° ……. en trámite ante el Juzgado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nacional en lo Civil n° …).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el marco de la instrucción, se realizó una diligencia en sede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del Registro Notarial n° ….. a cargo de T. y se incautó documentación contenida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una carpeta amarilla interna de la oficina, que se complementa con la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acompañada por el querellante.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El análisis efectuado de esos documentos permite destacar cuatro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cuestiones de notoria relevancia: 1) El número de COTI (Código de Oferta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Transferencia de Inmuebles) referido en la escritura n° 75 –dejada sin efecto–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desaparece en la n° 77 que resultó finalmente inscripta ante el Registro de la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Propiedad Inmueble. En esta última se hace constar que “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la parte vendedora se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compromete bajo juramento en este acto a tramitar el COTI liberándome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toda responsabilidad a los efectos fiscales</w:t>
      </w:r>
      <w:r>
        <w:rPr>
          <w:rFonts w:ascii="Times-Roman" w:hAnsi="Times-Roman" w:cs="Times-Roman"/>
          <w:sz w:val="28"/>
          <w:szCs w:val="28"/>
          <w:lang w:val="es-AR"/>
        </w:rPr>
        <w:t>”, 2) Tanto en la escritura n° 75 como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lastRenderedPageBreak/>
        <w:t>en la copia simple de la n° 77 entregada a M. al tiempo de suscribir el mutuo con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garantía se indica que el precio convenido de compra se entregó íntegramente en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ese acto. Sin embargo la escritura definitiva fue testada, incorporándose la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palabra “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antes</w:t>
      </w:r>
      <w:r>
        <w:rPr>
          <w:rFonts w:ascii="Times-Roman" w:hAnsi="Times-Roman" w:cs="Times-Roman"/>
          <w:sz w:val="28"/>
          <w:szCs w:val="28"/>
          <w:lang w:val="es-AR"/>
        </w:rPr>
        <w:t>” de ese acto (hoja de protocolo ……….), 3) No se indica en ese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documento que el vendedor haya exhibido el título original, más allá de la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redacción utilizada que precisamente presta a confusión sobre el punto, y, por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último, 4) Previo a estos actos T. acompañó a M. a visitar el inmueble que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constituiría garantía real, lo cual da cuenta que efectivamente tenía acceso a éste.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lo que atañe al punto 1, más allá de no tratarse de un mandato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legal para la notaria, lo cierto es que su tramitación para el vendedor y lo demás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sujetos obligados según la Resolución General 2371 de la AFIP (art. 1) resulta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necesaria en operaciones de disposición como la que se analiza. En este orden, la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opción de incorporar la leyenda que libera a la escribana de reclamar su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exhibición en el acto facilitaba la concreción de la maniobra y permitía a la vez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crear un falso manto de diligencia en el actuar.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Repárese en que el artículo 6 de la norma requiere la utilización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 clave fiscal para obtener el COTI en su gestión web. Ese dato difícilmente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podía conocerse respecto de alguien fallecido tres años antes. Cierto es que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subsisten las opciones de tramitación por terceros, pero tal grupo se reduce 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posibles martilleros matriculados con la consecuente dificultad de involucrar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nuevos cómplices, dejando también mayores rastros sobre el accionar ejecutado.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todo caso, la opción más sencilla y eficaz a esos fines fue la utilizada. Por lo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demás, llama la atención que ninguna explicación se haya dado acerca del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número que figura en la escritura n° 75 y los motivos por los cuales se dejó sin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efecto.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Lo relativo a la entrega del precio (punto 2), impone señalar que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la copia simple conferida a M. de la escritura n° 77 no contenía el enmendado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que luego se incluyó. Lo trascendente de tal extremo es que la entrega de dinero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su presencia, sumado a la confianza que el querellante refirió tener respecto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 T., mostraba un acto desarrollado en condiciones habituales que tenía como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lastRenderedPageBreak/>
        <w:t>obvia consecuencia sembrar seguridad sobre el subsiguiente negocio en el que se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pretendía involucrar a M.. Asimismo, la modificación posterior de esa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circunstancia no procuraba sino reajustar la participación de la imputada, y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mejorar su situación ante eventuales compulsas o sospechas, puesto que las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pruebas permiten afirmar que la única entrega de dinero fue del querellante a B..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La falta de una clara constancia en la escritura acerca de haber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sido exhibido el título original que otorgaba derecho a T. sobre el bien, permite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derribar la reflexión de la defensa en cuanto a la presunción de legitimidad del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supuesto vendedor por ser poseedor de copias del título, que bien podían tener en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su poder otras personas. Esto no puede sino ligarse a la visita previa al inmueble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 la cual M. fue acompañado por T., cuyo rol excedía el de mera notaria al tomar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parte activa en el negocio e integrar, conforme lo indicara incluso el coimputado,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aquel “grupo inversor” que solía operar con bienes inmuebles y mutuos con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garantía real.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No se desconoce que la encausada requirió el informe comercial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“NOSIS” respecto de T. pese a la poca frecuencia de ese obrar al tratarse del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vendedor del inmueble. Tampoco se ignora que de allí surgía el número de CUIT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vigente y que esa información subsistió incluso luego de implementado 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convenio de cooperación entre RENAPER y el Colegio Público de Escribanos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la Ciudad mencionado por la defensa. Esa deficiencia del sistema oficial, que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mantenía el dato erróneo pese a la defunción de T. y los enumerados recaudos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que habría adoptado T. en pos de probar un actuar de buena fe, no logran rebatir,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 criterio de los suscriptos, la convicción que surge de la valoración conjunta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la prueba.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La sumatoria de esos actos informativos previos que se pretenden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hacer valer como un comportamiento en exceso diligente (solicitud de boletas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deuda de ABL, con constancia de pago anterior a la fecha de la escritura,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informe NOSIS e inhibición de bienes, suscripción de formularios de servicios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lastRenderedPageBreak/>
        <w:t>profesionales con muestra dígito pulgar y copia del DNI que supuestamente fue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exhibido por el falso T.) parece el intento de constituir en forma anticipada una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defensa exitosa bajo la pauta de presentar a la escribana como víctima de un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farsante.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No se trata aquí de enumerar un obrar sin diligencia estricta, sino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poner de resalto en una interpretación global del escenario planteado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circunstancias concretas que permiten afirmar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 xml:space="preserve">prima facie </w:t>
      </w:r>
      <w:r>
        <w:rPr>
          <w:rFonts w:ascii="Times-Roman" w:hAnsi="Times-Roman" w:cs="Times-Roman"/>
          <w:sz w:val="28"/>
          <w:szCs w:val="28"/>
          <w:lang w:val="es-AR"/>
        </w:rPr>
        <w:t>que T. y D. integraban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el grupo que ideó y ejecutó la maniobra que se investiga.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Recapitulando, el engaño desplegado abarcó una seguidilla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eventos integrado por el uso de llaves para ingresar al inmueble para mostrar 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M. el acceso que se tenía, el armado para el caso de documentación que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pretendía otorgar seriedad a los actos y la serie de irregularidades reseñadas en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las escrituras. Resulta harto difícil considerar a esas conductas como meras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negligencias profesionales cuando su valoración, a la luz del cuadro probatorio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planteado, nos convence acerca de una maniobra tendiente a crear ficticiamente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una garantía hipotecaria ante los ojos de quien en tales condiciones se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comprometió con la entrega de una suma importante de dinero, que aún en la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actualidad no ha logrado percibir.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No resulta menor la función cumplida por D., quien admitió tener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vinculación tanto con B. como también y en forma habitual con la escribana T..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efecto, no sólo fue el imputado quien acercó a las partes sino también 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sujeto, que seguramente confiado en el éxito de la operación, se comprometió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como fiador en la deuda asumida por B. en el preciso momento en que 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querellante dudó de constituirse en acreedor en los términos propuestos. Por esas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razones corresponde agravar su situación procesal como partícipe necesario del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delito.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definitiva, lo hasta aquí analizado permite descartar que T. y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D. hayan sido víctimas de un engaño y los coloca como intervinientes esenciales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 la maniobra que, claro está, también involucraba a B., quien a raíz de su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fallecimiento resultó sobreseído por extinción de la acción penal.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II.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Medidas de prueba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lastRenderedPageBreak/>
        <w:t>Sin perjuicio del temperamento que habrá de adoptarse, el estudio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del expediente impone especificar las medidas que aún se encuentran pendientes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 producción.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Así, el 6 de octubre de 2017 se realizó un allanamiento en 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inmueble sito en la calle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…………..</w:t>
      </w:r>
      <w:r>
        <w:rPr>
          <w:rFonts w:ascii="Times-Roman" w:hAnsi="Times-Roman" w:cs="Times-Roman"/>
          <w:sz w:val="28"/>
          <w:szCs w:val="28"/>
          <w:lang w:val="es-AR"/>
        </w:rPr>
        <w:t>, diligencia que constató que por entonces se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estaban desarrollando tareas de refacción en el sitio. En esa ocasión el preventor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Gino Melani de la Policía de la Ciudad dejó constancia de haber hecho entrega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del bien a un sujeto de nombre M. N., DNI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 xml:space="preserve">………….. </w:t>
      </w:r>
      <w:r>
        <w:rPr>
          <w:rFonts w:ascii="Times-Roman" w:hAnsi="Times-Roman" w:cs="Times-Roman"/>
          <w:sz w:val="28"/>
          <w:szCs w:val="28"/>
          <w:lang w:val="es-AR"/>
        </w:rPr>
        <w:t>(fs. 81/82 y 83/vta.). En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tanto no surge explicación en el acta que justifique la presencia de N. en el lugar,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entendemos que corresponde obtener su testimonio a efectos de que indique en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qué condiciones se encontraba allí, si había sido contratado para las tareas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construcción y en su caso por quién.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Asimismo, de la compulsa del proceso criminal formado por la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muerte de T. (que luego se determinó ocurrió por causas naturales) se desprende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que un vecino de nombre L. A. A. poseía llaves de la vivienda y fue quien en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rigor permitió el ingreso de personal policial que constató el deceso.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Consideramos necesario también escucharlo a efectos de que brinde datos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interés y preguntarle si conoce a L. R., quien inició la sucesión testamentaria,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actualmente paralizada. En este orden, entendemos útil convocar a este último y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 los testigos que aportó en aquel proceso.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Finalmente, mediante oficio a la Administración Federal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Ingresos Públicos resta determinar qué datos surgen registrados con el número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COTI inserto en la escritura n° 75, como también oficiar a la Procuración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General de esta ciudad para dar noticia de la situación del inmueble con copia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esta resolución, a los fines de la intervención que corresponda en razón de los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derechos y acciones de los que pueda resultar titular conforme lo previsto en 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artículo 2648 del Código Civil y Comercial de la Nación.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III.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Cautelares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función del artículo 518 del Código Procesal Penal de la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lastRenderedPageBreak/>
        <w:t>Nación, se admite durante el proceso la adopción de medidas cautelares previstas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el ordenamiento civil y comercial.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tales condiciones, encontrándose inscripta la transmisión 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dominio a favor de B. y teniendo en cuenta las tareas de refacción que se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determinó estaban en curso, entiende la Sala que habiéndose determinado la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verosimilitud en el derecho y reportar el caso la urgencia que amerita su dictado,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corresponde decretar la anotación de litis en los términos del artículo 229 del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Código Procesal Civil y Comercial de la Nación, a fin de preservar la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indemnidad del bien que ha sido objeto del hecho ilícito.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Ello más allá de las restantes medidas cautelares que corresponde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dictar en la instancia de grado.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En consecuencia, se </w:t>
      </w:r>
      <w:r>
        <w:rPr>
          <w:rFonts w:ascii="Times-Bold" w:hAnsi="Times-Bold" w:cs="Times-Bold"/>
          <w:b/>
          <w:bCs/>
          <w:sz w:val="28"/>
          <w:szCs w:val="28"/>
          <w:lang w:val="es-AR"/>
        </w:rPr>
        <w:t>RESUELVE</w:t>
      </w:r>
      <w:r>
        <w:rPr>
          <w:rFonts w:ascii="Times-Roman" w:hAnsi="Times-Roman" w:cs="Times-Roman"/>
          <w:sz w:val="28"/>
          <w:szCs w:val="28"/>
          <w:lang w:val="es-AR"/>
        </w:rPr>
        <w:t>: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I. </w:t>
      </w:r>
      <w:r>
        <w:rPr>
          <w:rFonts w:ascii="Times-Bold" w:hAnsi="Times-Bold" w:cs="Times-Bold"/>
          <w:b/>
          <w:bCs/>
          <w:sz w:val="28"/>
          <w:szCs w:val="28"/>
          <w:lang w:val="es-AR"/>
        </w:rPr>
        <w:t xml:space="preserve">Revocar </w:t>
      </w:r>
      <w:r>
        <w:rPr>
          <w:rFonts w:ascii="Times-Roman" w:hAnsi="Times-Roman" w:cs="Times-Roman"/>
          <w:sz w:val="28"/>
          <w:szCs w:val="28"/>
          <w:lang w:val="es-AR"/>
        </w:rPr>
        <w:t>el auto de fs. 446/450, punto I, y dictar el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Bold" w:hAnsi="Times-Bold" w:cs="Times-Bold"/>
          <w:b/>
          <w:bCs/>
          <w:sz w:val="28"/>
          <w:szCs w:val="28"/>
          <w:lang w:val="es-AR"/>
        </w:rPr>
        <w:t xml:space="preserve">procesamiento </w:t>
      </w:r>
      <w:r>
        <w:rPr>
          <w:rFonts w:ascii="Times-Roman" w:hAnsi="Times-Roman" w:cs="Times-Roman"/>
          <w:sz w:val="28"/>
          <w:szCs w:val="28"/>
          <w:lang w:val="es-AR"/>
        </w:rPr>
        <w:t xml:space="preserve">de R. S. T. y de F. O. D. por hallarlos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 xml:space="preserve">prima facie </w:t>
      </w:r>
      <w:r>
        <w:rPr>
          <w:rFonts w:ascii="Times-Roman" w:hAnsi="Times-Roman" w:cs="Times-Roman"/>
          <w:sz w:val="28"/>
          <w:szCs w:val="28"/>
          <w:lang w:val="es-AR"/>
        </w:rPr>
        <w:t>autora y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partícipe necesario del delito de estafa (arts. 45 y 172 del CP y 306 del CPP),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debiendo la juez de grado disponer las restantes medidas cautelares.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II. Decretar la </w:t>
      </w:r>
      <w:r>
        <w:rPr>
          <w:rFonts w:ascii="Times-Bold" w:hAnsi="Times-Bold" w:cs="Times-Bold"/>
          <w:b/>
          <w:bCs/>
          <w:sz w:val="28"/>
          <w:szCs w:val="28"/>
          <w:lang w:val="es-AR"/>
        </w:rPr>
        <w:t xml:space="preserve">anotación de litis </w:t>
      </w:r>
      <w:r>
        <w:rPr>
          <w:rFonts w:ascii="Times-Roman" w:hAnsi="Times-Roman" w:cs="Times-Roman"/>
          <w:sz w:val="28"/>
          <w:szCs w:val="28"/>
          <w:lang w:val="es-AR"/>
        </w:rPr>
        <w:t>respecto del inmueble ubicado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en la calle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 xml:space="preserve">………….. </w:t>
      </w:r>
      <w:r>
        <w:rPr>
          <w:rFonts w:ascii="Times-Roman" w:hAnsi="Times-Roman" w:cs="Times-Roman"/>
          <w:sz w:val="28"/>
          <w:szCs w:val="28"/>
          <w:lang w:val="es-AR"/>
        </w:rPr>
        <w:t>de esta ciudad (matrículo …..) (art. 229 del CCyC y 518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del CPP), debiendo la juez de grado adoptar las medidas que son su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consecuencia.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III. Disponer que se cumpla con el libramiento de oficios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indicados.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Notifíquese y, oportunamente, devuélvase al juzgado de origen.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Sirva lo proveído de muy atenta nota de envío. Se deja constancia que el juez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Rodolfo Pociello Argerich no suscribe por no haber presenciado la audiencia.</w:t>
      </w:r>
    </w:p>
    <w:p w:rsidR="001200B0" w:rsidRDefault="001200B0" w:rsidP="001200B0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6"/>
          <w:szCs w:val="26"/>
          <w:lang w:val="es-AR"/>
        </w:rPr>
      </w:pPr>
      <w:r>
        <w:rPr>
          <w:rFonts w:ascii="Times-Bold" w:hAnsi="Times-Bold" w:cs="Times-Bold"/>
          <w:b/>
          <w:bCs/>
          <w:sz w:val="26"/>
          <w:szCs w:val="26"/>
          <w:lang w:val="es-AR"/>
        </w:rPr>
        <w:t>CARLOS ALBERTO GONZÁLEZ IGNACIO RODRÍGUEZ VARELA</w:t>
      </w:r>
    </w:p>
    <w:p w:rsidR="00246288" w:rsidRDefault="001200B0" w:rsidP="001200B0">
      <w:r>
        <w:rPr>
          <w:rFonts w:ascii="Times-Roman" w:hAnsi="Times-Roman" w:cs="Times-Roman"/>
          <w:sz w:val="28"/>
          <w:szCs w:val="28"/>
          <w:lang w:val="es-AR"/>
        </w:rPr>
        <w:t>Ante mí:</w:t>
      </w:r>
    </w:p>
    <w:sectPr w:rsidR="002462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B0"/>
    <w:rsid w:val="001200B0"/>
    <w:rsid w:val="00246288"/>
    <w:rsid w:val="00B446AB"/>
    <w:rsid w:val="00F9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0AA3B"/>
  <w15:chartTrackingRefBased/>
  <w15:docId w15:val="{64D6E188-DF13-4058-8BA6-8C0ED1CF2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2210</Words>
  <Characters>12158</Characters>
  <Application>Microsoft Office Word</Application>
  <DocSecurity>0</DocSecurity>
  <Lines>101</Lines>
  <Paragraphs>28</Paragraphs>
  <ScaleCrop>false</ScaleCrop>
  <Company/>
  <LinksUpToDate>false</LinksUpToDate>
  <CharactersWithSpaces>14340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ricko</dc:creator>
  <cp:keywords/>
  <dc:description/>
  <cp:lastModifiedBy>ricko</cp:lastModifiedBy>
  <cp:revision>2</cp:revision>
  <dcterms:created xsi:type="dcterms:W3CDTF">2020-02-24T22:19:00Z</dcterms:created>
  <dcterms:modified xsi:type="dcterms:W3CDTF">2020-02-25T14:10:00Z</dcterms:modified>
</cp:coreProperties>
</file>