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E09" w:rsidRDefault="00891E09" w:rsidP="00891E09">
      <w:r>
        <w:t>ESTUDIO JURIDICO ABOGADO RICARDO OSCAR KOHN</w:t>
      </w:r>
    </w:p>
    <w:p w:rsidR="00891E09" w:rsidRDefault="00891E09" w:rsidP="00891E09">
      <w:r>
        <w:t>Aseroramiento jurídico Dererecho Penal, Laboral, Laboral (Despidos-Seguros, ART), Contable, Financiero.</w:t>
      </w:r>
    </w:p>
    <w:p w:rsidR="00891E09" w:rsidRDefault="00891E09" w:rsidP="00891E09">
      <w:r>
        <w:t>Fuentes Información Penal: Jurisprucencia Fiscalía Instrucción, Juzgados de Control, Cámaras del Crimen, Cámara de Apelación, Tribunal Superior de Justicia de Córdoba, Cámara Federal de Apelaciones, Corte Supremia de Justicia de la Nación.</w:t>
      </w:r>
    </w:p>
    <w:p w:rsidR="00891E09" w:rsidRDefault="00891E09" w:rsidP="00891E09">
      <w:r>
        <w:t xml:space="preserve">Notas periodísticas:  La voz del Interior, lavoz, Cadena 3, Infobae, Clarin, La Nación, Diario Judicial, Comercio y Justicia, Abogados Tucumán, iprofesional, Ministerio Público Fiscal Cordoba -MPF-, somos cordobeses, DERF, headstopics, cordobatimes, diaadia, hoydia, La Caja de Seguros, </w:t>
      </w:r>
    </w:p>
    <w:p w:rsidR="00891E09" w:rsidRDefault="00891E09">
      <w:bookmarkStart w:id="0" w:name="_GoBack"/>
      <w:bookmarkEnd w:id="0"/>
    </w:p>
    <w:p w:rsidR="00246288" w:rsidRDefault="00F84F54">
      <w:r>
        <w:t xml:space="preserve">Organismo SECRETARÍA PENAL STJ Nº2 Sentencia 153 - 17/10/2018 - DEFINITIVA Expediente B-1VI-255-JE2015 - SALES, RICARDO Y OTROS S /ASOC. ILICITA Y DELITOS CONTINUADOS DE PECULADO, ADMINISTRACION FRAUDULENTA, ABUSO DE AUTORIDAD Y ESTAFA S INCIDENTE DE REHABILITACION, APELACION S/ CASACION Sumarios Todos los sumarios del fallo (1) Texto Sentencia ///MA, 17 de octubre de 2018. VISTO: Las presentes actuaciones caratuladas: "SALES, Ricardo y Otros s/Asoc. ilícita y delitos continuados de peculado, administración fraudulenta, abuso de autoridad y estafa s/ Incidente de rehabilitación s/Apelación s/Casación" (Expte.Nº 29043/17 STJ), puestas a despacho para resolver, y CONSIDERANDO: Que la deliberación previa a la resolución ha concluido con el acuerdo de los señores Jueces que se transcribe a continuación. El señor Juez doctor Enrique J. Mansilla dijo: 1. Antecedentes de la causa: 1.1. Mediante Sentencia Interlocutoria Nº 306, del 3 de noviembre de 2016, la Sala A de la Cámara en lo Criminal de Viedma resolvió -en lo pertinente- hacer lugar al recurso de apelación deducido por el señor Fiscal de Cámara y revocar el Auto Interlocutorio Nº 153/16 dictado por el Juzgado de Ejecución Penal Nº 8, que había concedido a Ricardo Sales la rehabilitación de los derechos de los cuales había sido privado por Sentencia Nº 41/05 de aquel tribunal (cf. art. 19 CP). 1.2. En oposición a ello, la defensa del señor Sales deduce recurso de casación, que es declarado admisible por el a quo. 2. Agravios del recurso de casación: El casacionista plantea que la pena de inhabilitación absoluta impuesta a su pupilo es la prevista en el art. 12 del Código Penal, simultánea y conjunta a la de prisión a tenor de los arts. 261 y 248 del mismo cuerpo legal, por lo que su cumplimiento es también conjunto. Alega que la postura de la Cámara en lo Criminal, al entender que las penas se cumplen de modo sucesivo -primero la de prisión, luego la de inhabilitación absoluta- prolonga de modo indebido el tiempo exigible. A lo anterior agrega que, para que la inhabilitación absoluta se extienda hasta tres años más después de cumplida la de prisión, es necesario que así lo disponga el tribunal (cf. art. 12 CP), lo que no se da en el caso, de modo que considera ajustado a derecho el fallo del Juez de Ejecución. /// Argumenta que el último párrafo del art. 20 ter de la ley sustantiva se aplica cuando el condenado cumplió la pena en su totalidad, sin haber gozado de la libertad condicional del art. 13 pero, de obtenerla, resulta aplicable el art. 16. En tal sentido, aduce que su pupilo tuvo una pena de cuatro años y seis meses de prisión (54 meses) e inhabilitación absoluta perpetua, y que recuperó su libertad en forma condicional, no revocada, el día 31/12/2007. En tal fecha había cumplido treinta y seis meses de encierro (dos tercios de la condena) y le restaban dieciocho meses para completar el total mencionado, lo que se cumplimentó el día 30/06/2009. En consecuencia, prosigue, agotó la sanción en forma completa y total el día 30/06/2009, día en </w:t>
      </w:r>
      <w:r>
        <w:lastRenderedPageBreak/>
        <w:t xml:space="preserve">que también se extinguió la inhabilitación absoluta impuesta, de manera que, adicionando los cinco años del último párrafo del art. 13 del Código Penal, en consonancia con el art. 16, la rehabilitación podía concederse el 30/06/2014. 4. Análisis y solución del caso: En relación con el instituto de la rehabilitación -restitución al uso y goce de derecho y capacidades-, se propone la discusión solo sobre uno de sus requisitos, vinculado con el transcurso de un determinado período de tiempo, para los fines de su solicitud. Brevemente pongo de resalto que, en el caso la inhabilitación absoluta perpetua impuesta a 17/7/2019 2/3 Ricardo Sales por la Sala A de la Cámara en lo Criminal de Viedma (cf. Se. 41/05), se trata de una pena principal y conjunta a la de prisión que se aplicó por fuera del supuesto reglado por el art. 12 del Código Penal atento, en lo que interesa, al art. 261 segunda parte de esa misma norma. Sobre el requisito aludido, el tribunal resolvió la cuestión conforme una ponderación de la ley que atiende a su texto y que no da lugar a otras posibilidades interpretativas. La norma específica es la mencionada (art. 20 ter CP), cuyo párrafo primero permite la restitución al uso y goce de los derechos y capacidades de los que se hubiera privado al condenado a inhabilitación absoluta perpetua si se hubiera comportado correctamente durante diez años, lo que debe conjugarse con el último párrafo, según el cual para "todos los efectos, en los plazos de inhabilitación no se computará el tiempo en que el inhabilitado haya estado prófugo, internado o privado de su libertad". Entonces, ninguna observación puede hacerse a lo resuelto por el a quo, que distinguió tal cómputo del de la inhabilitación absoluta accesoria del art. 12 del Código Penal ya citado, "cuya norma estructura la forma de cómputo de modo específico. El texto del art. 20 ter no ///2. deja margen para la duda: en los plazos que determina en su primer párrafo no se computa el tiempo que el condenado haya estado? privado de la libertad?". En consecuencia, el agravio debe ser desestimado por carecer de una crítica concreta y razonada de lo decidido acerca de este requisito para la rehabilitación, a cuyo respecto es oportuno agregar lo establecido en el precedente STJRNS2 Se. 19/04 ?Gallardo? donde, con cita de la obra Código Penal Argentino. Parte General de Jorge de la Rúa (págs. 296/297), se dijo que no basta el transcurso del tiempo y la reparación del daño en la medida de lo posible para obtener el beneficio, sino que la "? ley exige que el condenado se haya comportado, durante tal lapso, 'correctamente'. La expresión debe ser interpretada de un modo amplio, referido a una valoración jurídica, ética y social de la vida integral del individuo. No debe reducirse a valorar la conducta en libertad? en el orden de derechos o actividades en los que fue inhabilitado, sino atender tanto a nuevos delitos, como a otros actos de inconducta que razonablemente demuestren la incorrección de conducta". 5. Decisión: Por los motivos que anteceden, propongo al Acuerdo declarar mal concedido el recurso de casación interpuesto por la defensa de Ricardo Sales, con costas. ASÍ VOTO. Los señores Jueces doctores Sergio M. Barotto y Ricardo A. Apcarian dijeron: Adherimos al criterio sustentado y a la solución propuesta por el vocal preopinante y VOTAMOS EN IGUAL SENTIDO. Los señores Jueces subrogantes doctores Ariel Gallinger y Rolando Gaitán dijeron: Atento a la coincidencia manifestada entre los señores Jueces que nos preceden en orden de votación, NOS ABSTENEMOS de emitir opinión (art. 38 L.O.). Por ello, EL SUPERIOR TRIBUNAL DE JUSTICIA DE LA PROVINCIA RESUELVE: Primero: Declarar mal concedido el recurso de casación interpuesto a fs. 161/164 vta. de las presentes actuaciones por el doctor Gaspar Alejandro Platino en representación de Ricardo Sales, con costas, y confirmar la Sentencia Interlocutoria Nº 306/16 de la Sala A de la Cámara en lo Criminal de Viedma. Segundo: Registrar, notificar y oportunamente devolver los autos. Firmantes: MANSILLA - BAROTTO - APCARIAN - GALLINGER (subrogante en abstención) - GAITÁN (subrogante en abstención) ARIZCUREN Secretario STJ PROTOCOLIZACIÓN: </w:t>
      </w:r>
      <w:r>
        <w:lastRenderedPageBreak/>
        <w:t>Tomo: 3 Sentencia: 153 Folios Nº: 544/545 17/7/2019 3/3 Secretaría Nº: 2 Texto Referencias Normativas (sin datos) Vía Acceso (sin datos) Voces INHABILITACIÓN ABSOLUTA - CARACTERES - PLAZO - COMPUTO - REHABILITACIÓN (PENAL) - INTERPRETACIÓN DE LA LEY</w:t>
      </w:r>
    </w:p>
    <w:sectPr w:rsidR="002462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F54"/>
    <w:rsid w:val="00246288"/>
    <w:rsid w:val="00891E09"/>
    <w:rsid w:val="00B446AB"/>
    <w:rsid w:val="00F84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2C8B4"/>
  <w15:chartTrackingRefBased/>
  <w15:docId w15:val="{6B1D3C7D-60C3-4194-A716-E69751182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E0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1258</Words>
  <Characters>6924</Characters>
  <Application>Microsoft Office Word</Application>
  <DocSecurity>0</DocSecurity>
  <Lines>57</Lines>
  <Paragraphs>16</Paragraphs>
  <ScaleCrop>false</ScaleCrop>
  <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2</cp:revision>
  <dcterms:created xsi:type="dcterms:W3CDTF">2020-02-24T22:41:00Z</dcterms:created>
  <dcterms:modified xsi:type="dcterms:W3CDTF">2020-02-25T14:11:00Z</dcterms:modified>
</cp:coreProperties>
</file>